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cs="Times New Roman"/>
        </w:rPr>
      </w:pPr>
      <w:r>
        <w:rPr>
          <w:rFonts w:hint="eastAsia"/>
        </w:rPr>
        <w:t>《</w:t>
      </w:r>
      <w:r>
        <w:rPr>
          <w:rFonts w:hint="eastAsia"/>
          <w:lang w:val="en-US" w:eastAsia="zh-CN"/>
        </w:rPr>
        <w:t>投资银行理论与实务</w:t>
      </w:r>
      <w:r>
        <w:rPr>
          <w:rFonts w:hint="eastAsia"/>
        </w:rPr>
        <w:t>》课程复习要点</w:t>
      </w:r>
    </w:p>
    <w:p>
      <w:pPr>
        <w:spacing w:line="420" w:lineRule="exact"/>
        <w:rPr>
          <w:rFonts w:ascii="宋体" w:cs="Times New Roman"/>
          <w:b/>
          <w:bCs/>
          <w:color w:val="FF0000"/>
          <w:sz w:val="24"/>
          <w:szCs w:val="24"/>
        </w:rPr>
      </w:pPr>
      <w:r>
        <w:rPr>
          <w:rFonts w:hint="eastAsia" w:ascii="宋体" w:hAnsi="宋体" w:cs="宋体"/>
          <w:b/>
          <w:bCs/>
          <w:color w:val="FF0000"/>
          <w:sz w:val="28"/>
          <w:szCs w:val="28"/>
        </w:rPr>
        <w:t>课程名称：</w:t>
      </w:r>
      <w:r>
        <w:rPr>
          <w:rFonts w:hint="eastAsia" w:ascii="宋体" w:hAnsi="宋体" w:cs="宋体"/>
          <w:b/>
          <w:bCs/>
          <w:color w:val="FF0000"/>
          <w:sz w:val="24"/>
          <w:szCs w:val="24"/>
        </w:rPr>
        <w:t>《投资银行理论与实务》</w:t>
      </w:r>
    </w:p>
    <w:p>
      <w:pPr>
        <w:spacing w:line="420" w:lineRule="exact"/>
        <w:rPr>
          <w:rFonts w:ascii="宋体" w:cs="Times New Roman"/>
          <w:b/>
          <w:bCs/>
          <w:color w:val="FF0000"/>
          <w:sz w:val="24"/>
          <w:szCs w:val="24"/>
        </w:rPr>
      </w:pPr>
      <w:r>
        <w:rPr>
          <w:rFonts w:hint="eastAsia" w:ascii="宋体" w:hAnsi="宋体" w:cs="宋体"/>
          <w:b/>
          <w:bCs/>
          <w:color w:val="FF0000"/>
          <w:sz w:val="28"/>
          <w:szCs w:val="28"/>
        </w:rPr>
        <w:t>适用专业：</w:t>
      </w:r>
      <w:r>
        <w:rPr>
          <w:rFonts w:hint="eastAsia" w:ascii="宋体" w:hAnsi="宋体" w:cs="宋体"/>
          <w:b/>
          <w:bCs/>
          <w:color w:val="FF0000"/>
          <w:sz w:val="24"/>
          <w:szCs w:val="24"/>
          <w:lang w:val="en-US" w:eastAsia="zh-CN"/>
        </w:rPr>
        <w:t>金融工程</w:t>
      </w:r>
    </w:p>
    <w:p>
      <w:pPr>
        <w:spacing w:line="420" w:lineRule="exact"/>
        <w:rPr>
          <w:rFonts w:hint="eastAsia" w:ascii="宋体" w:hAnsi="宋体" w:cs="宋体"/>
          <w:b/>
          <w:bCs/>
          <w:color w:val="FF0000"/>
          <w:sz w:val="24"/>
          <w:szCs w:val="24"/>
        </w:rPr>
      </w:pPr>
      <w:r>
        <w:rPr>
          <w:rFonts w:hint="eastAsia" w:ascii="宋体" w:hAnsi="宋体" w:cs="宋体"/>
          <w:b/>
          <w:bCs/>
          <w:color w:val="FF0000"/>
          <w:sz w:val="28"/>
          <w:szCs w:val="28"/>
        </w:rPr>
        <w:t>辅导教材：</w:t>
      </w:r>
      <w:r>
        <w:rPr>
          <w:rFonts w:hint="eastAsia" w:ascii="宋体" w:hAnsi="宋体" w:cs="宋体"/>
          <w:b/>
          <w:bCs/>
          <w:color w:val="FF0000"/>
          <w:sz w:val="24"/>
          <w:szCs w:val="24"/>
        </w:rPr>
        <w:t>《投资银行理论与实务》</w:t>
      </w:r>
      <w:r>
        <w:rPr>
          <w:rFonts w:ascii="宋体" w:cs="Times New Roman"/>
          <w:b/>
          <w:bCs/>
          <w:color w:val="FF0000"/>
          <w:sz w:val="24"/>
          <w:szCs w:val="24"/>
        </w:rPr>
        <w:t> </w:t>
      </w:r>
      <w:r>
        <w:rPr>
          <w:rFonts w:hint="eastAsia" w:ascii="宋体" w:hAnsi="宋体" w:cs="宋体"/>
          <w:b/>
          <w:bCs/>
          <w:color w:val="FF0000"/>
          <w:sz w:val="24"/>
          <w:szCs w:val="24"/>
          <w:lang w:val="en-US" w:eastAsia="zh-CN"/>
        </w:rPr>
        <w:t>李子白</w:t>
      </w:r>
      <w:r>
        <w:rPr>
          <w:rFonts w:hint="eastAsia" w:ascii="宋体" w:hAnsi="宋体" w:cs="宋体"/>
          <w:b/>
          <w:bCs/>
          <w:color w:val="FF0000"/>
          <w:sz w:val="24"/>
          <w:szCs w:val="24"/>
        </w:rPr>
        <w:t>主编</w:t>
      </w:r>
      <w:r>
        <w:rPr>
          <w:rFonts w:ascii="宋体" w:hAnsi="宋体" w:cs="宋体"/>
          <w:b/>
          <w:bCs/>
          <w:color w:val="FF0000"/>
          <w:sz w:val="24"/>
          <w:szCs w:val="24"/>
        </w:rPr>
        <w:t xml:space="preserve"> </w:t>
      </w:r>
      <w:r>
        <w:rPr>
          <w:rFonts w:hint="eastAsia" w:ascii="宋体" w:hAnsi="宋体" w:cs="宋体"/>
          <w:b/>
          <w:bCs/>
          <w:color w:val="FF0000"/>
          <w:sz w:val="24"/>
          <w:szCs w:val="24"/>
          <w:lang w:val="en-US" w:eastAsia="zh-CN"/>
        </w:rPr>
        <w:t>清华大学</w:t>
      </w:r>
      <w:r>
        <w:rPr>
          <w:rFonts w:hint="eastAsia" w:ascii="宋体" w:hAnsi="宋体" w:cs="宋体"/>
          <w:b/>
          <w:bCs/>
          <w:color w:val="FF0000"/>
          <w:sz w:val="24"/>
          <w:szCs w:val="24"/>
        </w:rPr>
        <w:t>出版社</w:t>
      </w:r>
    </w:p>
    <w:p>
      <w:pPr>
        <w:spacing w:line="420" w:lineRule="exact"/>
        <w:rPr>
          <w:rFonts w:ascii="宋体" w:cs="Times New Roman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cs="宋体"/>
          <w:b/>
          <w:bCs/>
          <w:sz w:val="28"/>
          <w:szCs w:val="28"/>
        </w:rPr>
        <w:t>复习要点：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t>第一章 导论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t>第一节 投资银行的历史演进和发展趋势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1.了解投资银行的起源和不同称谓P1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2.了解美国投资银行的不同发展阶段P4-5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3.了解投资银行的发展趋势:市场全球化 业务多样化 机构大型化P5-7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jc w:val="left"/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t>投资银行的内涵与功能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了解投资银行的从广义到狭义的四种定义P9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理解投资银行和商业银行的差别P10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掌握投资银行的功能P12-17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t>第三节 投资银行的业务范围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了解投资银行的业务范围P17-25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掌握并区分承销：包销，代销和余额包销P18-19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t>第二章 证券发行与承销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t>第一节 证券种类及发行选择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1.区分普通股和优先股，并掌握其基本特征P30P34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2.掌握股票和债券的比较P35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3.了解可转换债券的特征P38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t>发行方式与承销方式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ind w:leftChars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掌握公开发行和私募发行特征和优缺点P42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ind w:leftChars="0"/>
        <w:jc w:val="left"/>
        <w:rPr>
          <w:rFonts w:hint="default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包销，代销和余额包销的比较和选择P45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ind w:leftChars="0"/>
        <w:jc w:val="left"/>
        <w:rPr>
          <w:rFonts w:hint="default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了解竞价（投标）承销：收益率招标和价格招标P47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t>第三节 股票发行与承销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1.了解股票发行与承销的流程P50-55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2.掌握决定股票价格的主要因素P56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3.IPO股票定价方法：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 可比公司定价法P59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 现金流量折现法P61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t>第四节 债券发行与承销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1.债券发行所考虑的因素：发行额，债券期限，偿还方式，票面利率和发行价格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leftChars="0"/>
        <w:jc w:val="left"/>
        <w:rPr>
          <w:rFonts w:hint="default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2.了解债券的信用评级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leftChars="0"/>
        <w:jc w:val="left"/>
        <w:rPr>
          <w:rFonts w:hint="default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leftChars="0"/>
        <w:jc w:val="left"/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t>第三章 证券交易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t>第一节 证券经纪业务</w:t>
      </w:r>
    </w:p>
    <w:p>
      <w:pPr>
        <w:keepNext w:val="0"/>
        <w:keepLines w:val="0"/>
        <w:widowControl/>
        <w:numPr>
          <w:ilvl w:val="0"/>
          <w:numId w:val="5"/>
        </w:numPr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了解证券买卖委托的形式和指令P86-88</w:t>
      </w:r>
    </w:p>
    <w:p>
      <w:pPr>
        <w:keepNext w:val="0"/>
        <w:keepLines w:val="0"/>
        <w:widowControl/>
        <w:numPr>
          <w:ilvl w:val="0"/>
          <w:numId w:val="5"/>
        </w:numPr>
        <w:suppressLineNumbers w:val="0"/>
        <w:ind w:left="0" w:leftChars="0" w:firstLine="0" w:firstLineChars="0"/>
        <w:jc w:val="left"/>
        <w:rPr>
          <w:rFonts w:hint="default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融资买进交易和融资卖出交易（买空和卖空）P90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t>第二节 做市商业务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1.了解报价驱动机制和指令驱动机制P93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2.了解做市商的功能P97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t>第三节 证券自营业务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1.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了解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证券自营业务的主要内容P99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2.了解证券自营业务如何进行风险控制P102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t>第四章 兼并与收购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t>第一节 公司重组的形式与并购类型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了解公司重组的形式和并购的类型P106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left="482" w:hanging="482" w:hangingChars="200"/>
        <w:jc w:val="left"/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t>第二节 并购理论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left="482" w:hanging="480" w:hangingChars="200"/>
        <w:jc w:val="left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</w:pPr>
      <w:r>
        <w:rPr>
          <w:rFonts w:hint="default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效率差异理论  经营协同效应理论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经营多样化理论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财务协同效应理论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left="482" w:hanging="480" w:hangingChars="200"/>
        <w:jc w:val="left"/>
        <w:rPr>
          <w:rFonts w:hint="default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</w:pPr>
      <w:r>
        <w:rPr>
          <w:rFonts w:hint="default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价值低估理论  代理问题理论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税收节约理论  战略性重组理论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leftChars="0"/>
        <w:jc w:val="left"/>
        <w:rPr>
          <w:rFonts w:hint="default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t>第三节 并购程序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了解上市公司的并购程序128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leftChars="0"/>
        <w:jc w:val="left"/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t>第四节 并购估值定价和收购对价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1.了解如何用现金流贴现的方法来评估企业价值及其局限性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2.了解收购对价的形式P135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t>第五节 反收购防御策略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t>第六节 杠杆收购和管理层收购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了解杠杆收购及其特点P149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240" w:firstLineChars="100"/>
        <w:jc w:val="left"/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t>第五章 证券投资基金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t>第一节 投资基金的性质和特征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240" w:firstLineChars="100"/>
        <w:jc w:val="left"/>
        <w:rPr>
          <w:rFonts w:hint="default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投资基金的定义，性质和特征P160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left="241" w:hanging="241" w:hangingChars="100"/>
        <w:jc w:val="left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t>第二节 投资基金的分类及其比较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契约型基金和公司型基金P164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240" w:firstLineChars="100"/>
        <w:jc w:val="left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封闭式基金和开放式基金P165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240" w:firstLineChars="100"/>
        <w:jc w:val="left"/>
        <w:rPr>
          <w:rFonts w:hint="default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货币市场基金P168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240" w:firstLineChars="100"/>
        <w:jc w:val="left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交易所交易基金P169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240" w:firstLineChars="100"/>
        <w:jc w:val="left"/>
        <w:rPr>
          <w:rFonts w:hint="default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对冲基金P170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240" w:firstLineChars="100"/>
        <w:jc w:val="left"/>
        <w:rPr>
          <w:rFonts w:hint="default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风险投资基金P171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t>第三节 投资基金的组织结构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了解投资基金的主要当事人和其他当事人及其发挥的作用P172-175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t>第四节 投资基金的设立、发行和交易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1.了解投资基金设立的条件P176-178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2,掌握基金净值计算和申购赎回价格的计算P180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t>第五节 基金投资运作和管理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了解基金收益的来源和基金费用的支付P187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t>第六章 咨询服务和资产管理</w:t>
      </w:r>
    </w:p>
    <w:p>
      <w:pPr>
        <w:keepNext w:val="0"/>
        <w:keepLines w:val="0"/>
        <w:widowControl/>
        <w:numPr>
          <w:ilvl w:val="0"/>
          <w:numId w:val="6"/>
        </w:numPr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t>咨询服务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了解咨询服务的特征和功能p193-194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了解咨询服务的风险控制P201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t>第二节 资产管理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1.了解资产管理业务的特点P205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2.了解资产管理业务的风险控制P214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3.了解我国资产管理业务发展模式和发展环境P215-218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t>第三节 研究分析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了解如何进行基本面分析和证券市场分析，并对其进行比较221-227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t>第七章风险投资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t>第一节 风险投资的运行特点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了解风险投资的内涵和特点P234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t>第二节 风险投资的运行过程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leftChars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t>第三节 风险投资的风险管理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leftChars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t>第四节 风险投资的交易构造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leftChars="0"/>
        <w:jc w:val="left"/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t>第五节 风险投资与二板市场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1.了解首次公开发行的意义P260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2.了解二板市场的特点P261-262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t>第八章 资产证券化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t>第一节 资产证券化的内涵和特征</w:t>
      </w:r>
    </w:p>
    <w:p>
      <w:pPr>
        <w:keepNext w:val="0"/>
        <w:keepLines w:val="0"/>
        <w:widowControl/>
        <w:numPr>
          <w:ilvl w:val="0"/>
          <w:numId w:val="7"/>
        </w:numPr>
        <w:suppressLineNumbers w:val="0"/>
        <w:jc w:val="left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了解资产证券化融资方式的特征P277</w:t>
      </w:r>
    </w:p>
    <w:p>
      <w:pPr>
        <w:keepNext w:val="0"/>
        <w:keepLines w:val="0"/>
        <w:widowControl/>
        <w:numPr>
          <w:ilvl w:val="0"/>
          <w:numId w:val="7"/>
        </w:numPr>
        <w:suppressLineNumbers w:val="0"/>
        <w:jc w:val="left"/>
        <w:rPr>
          <w:rFonts w:hint="default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了解可证券化资产的特征P274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t>第二节 资产证券化的结构和运作流程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1.了解资产证券化的种类：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过手证券，资产支持证券，传递证券，抵押担保证券P279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2.了解投资银行在资产证券化中的作用P288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3.了解信用增级的形式P286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t>第三节 资产证券化的风险管理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1.了解资产证券化过程中可能遇到的风险p289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2.了解资产证券化风险管理的三种途径P292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t>第九章 风险管理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t>第一节 风险管理概论</w:t>
      </w:r>
    </w:p>
    <w:p>
      <w:pPr>
        <w:keepNext w:val="0"/>
        <w:keepLines w:val="0"/>
        <w:widowControl/>
        <w:numPr>
          <w:ilvl w:val="0"/>
          <w:numId w:val="8"/>
        </w:numPr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风险的分类P304</w:t>
      </w:r>
    </w:p>
    <w:p>
      <w:pPr>
        <w:keepNext w:val="0"/>
        <w:keepLines w:val="0"/>
        <w:widowControl/>
        <w:numPr>
          <w:ilvl w:val="0"/>
          <w:numId w:val="8"/>
        </w:numPr>
        <w:suppressLineNumbers w:val="0"/>
        <w:jc w:val="left"/>
        <w:rPr>
          <w:rFonts w:hint="default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风险管理的基本策略P306</w:t>
      </w:r>
    </w:p>
    <w:p>
      <w:pPr>
        <w:keepNext w:val="0"/>
        <w:keepLines w:val="0"/>
        <w:widowControl/>
        <w:numPr>
          <w:ilvl w:val="0"/>
          <w:numId w:val="6"/>
        </w:numPr>
        <w:suppressLineNumbers w:val="0"/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t>金融衍生工具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了解及其在市场上的作用：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leftChars="0" w:firstLine="480" w:firstLineChars="200"/>
        <w:jc w:val="left"/>
        <w:rPr>
          <w:rFonts w:hint="default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远期，期货，期权，互换P313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t>第三节 基于VaR的市场风险管理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1.了解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VaR的定义，特点和局限性P321，326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2.压力测试P328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t>第四节 信用风险管理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1.了解信用风险的概念和特点P330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2.了解信用衍生工具有哪些并了解它们的作用P332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t>第十章 投资银行的组织结构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t>第一节 投资银行的组织形态</w:t>
      </w:r>
    </w:p>
    <w:p>
      <w:pPr>
        <w:keepNext w:val="0"/>
        <w:keepLines w:val="0"/>
        <w:widowControl/>
        <w:numPr>
          <w:ilvl w:val="0"/>
          <w:numId w:val="9"/>
        </w:numPr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公司制投资银行的优势P347</w:t>
      </w:r>
    </w:p>
    <w:p>
      <w:pPr>
        <w:keepNext w:val="0"/>
        <w:keepLines w:val="0"/>
        <w:widowControl/>
        <w:numPr>
          <w:ilvl w:val="0"/>
          <w:numId w:val="9"/>
        </w:numPr>
        <w:suppressLineNumbers w:val="0"/>
        <w:jc w:val="left"/>
        <w:rPr>
          <w:rFonts w:hint="default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了解我国投资银行的组织形态P347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t>第二节 投资银行的组织结构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了解我国投资银行的结构P350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t>第三节 投资银行的组织结构创新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1.了解构建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投资银行的组织结构考虑的影响要素361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2.如何对我国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投资银行的组织结构进行创新和发展P365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t>第十一章 投资银行的监管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t>第一节 投资银行业监管的目标和原则P371-373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t>第二节 投资银行业的监管体制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1.三种主要的投资银行业的监管体制P375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2.了解我国投资银行业的监管体制P378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t>第三节 投资银行的监管内容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480" w:firstLineChars="200"/>
        <w:jc w:val="left"/>
        <w:rPr>
          <w:rFonts w:hint="default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注册制P384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480" w:firstLineChars="200"/>
        <w:jc w:val="left"/>
        <w:rPr>
          <w:rFonts w:hint="default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特许制P385</w:t>
      </w:r>
      <w:bookmarkStart w:id="0" w:name="_GoBack"/>
      <w:bookmarkEnd w:id="0"/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t>第四节 投资银行的退出机制</w:t>
      </w:r>
    </w:p>
    <w:p>
      <w:pPr>
        <w:spacing w:line="420" w:lineRule="exac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</w:p>
    <w:p>
      <w:pPr>
        <w:spacing w:line="420" w:lineRule="exac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spacing w:line="420" w:lineRule="exac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spacing w:line="420" w:lineRule="exact"/>
        <w:rPr>
          <w:rFonts w:ascii="宋体" w:cs="Times New Roman"/>
          <w:b/>
          <w:bCs/>
          <w:color w:val="FF0000"/>
          <w:sz w:val="28"/>
          <w:szCs w:val="28"/>
        </w:rPr>
      </w:pPr>
      <w:r>
        <w:rPr>
          <w:rFonts w:hint="eastAsia" w:ascii="宋体" w:hAnsi="宋体" w:cs="宋体"/>
          <w:b/>
          <w:bCs/>
          <w:color w:val="FF0000"/>
          <w:sz w:val="28"/>
          <w:szCs w:val="28"/>
        </w:rPr>
        <w:t>教学方式与考核方式：</w:t>
      </w:r>
    </w:p>
    <w:p>
      <w:pPr>
        <w:spacing w:line="420" w:lineRule="exact"/>
        <w:rPr>
          <w:rFonts w:ascii="宋体" w:cs="Times New Roman"/>
          <w:color w:val="FF0000"/>
          <w:sz w:val="24"/>
          <w:szCs w:val="24"/>
        </w:rPr>
      </w:pPr>
      <w:r>
        <w:rPr>
          <w:rFonts w:hint="eastAsia" w:ascii="宋体" w:hAnsi="宋体" w:cs="宋体"/>
          <w:color w:val="FF0000"/>
          <w:sz w:val="24"/>
          <w:szCs w:val="24"/>
        </w:rPr>
        <w:t>教学方式：面授辅导、平时作业、小论文写作</w:t>
      </w:r>
    </w:p>
    <w:p>
      <w:pPr>
        <w:spacing w:line="420" w:lineRule="exact"/>
        <w:rPr>
          <w:rFonts w:hint="eastAsia" w:ascii="宋体" w:hAnsi="宋体" w:cs="宋体"/>
          <w:color w:val="FF0000"/>
          <w:sz w:val="24"/>
          <w:szCs w:val="24"/>
        </w:rPr>
      </w:pPr>
      <w:r>
        <w:rPr>
          <w:rFonts w:hint="eastAsia" w:ascii="宋体" w:hAnsi="宋体" w:cs="宋体"/>
          <w:color w:val="FF0000"/>
          <w:sz w:val="24"/>
          <w:szCs w:val="24"/>
        </w:rPr>
        <w:t>考核方式：考勤、作业和开卷考试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</w:p>
    <w:p>
      <w:pPr>
        <w:rPr>
          <w:rFonts w:hint="eastAsia" w:ascii="宋体" w:hAnsi="宋体" w:eastAsia="宋体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5AE6854"/>
    <w:multiLevelType w:val="singleLevel"/>
    <w:tmpl w:val="A5AE6854"/>
    <w:lvl w:ilvl="0" w:tentative="0">
      <w:start w:val="1"/>
      <w:numFmt w:val="chineseCounting"/>
      <w:suff w:val="space"/>
      <w:lvlText w:val="第%1节"/>
      <w:lvlJc w:val="left"/>
      <w:rPr>
        <w:rFonts w:hint="eastAsia"/>
      </w:rPr>
    </w:lvl>
  </w:abstractNum>
  <w:abstractNum w:abstractNumId="1">
    <w:nsid w:val="FFBC0A44"/>
    <w:multiLevelType w:val="singleLevel"/>
    <w:tmpl w:val="FFBC0A4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FFF7AD35"/>
    <w:multiLevelType w:val="singleLevel"/>
    <w:tmpl w:val="FFF7AD3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053581AB"/>
    <w:multiLevelType w:val="singleLevel"/>
    <w:tmpl w:val="053581A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253FCA83"/>
    <w:multiLevelType w:val="singleLevel"/>
    <w:tmpl w:val="253FCA8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2CFDFDB6"/>
    <w:multiLevelType w:val="singleLevel"/>
    <w:tmpl w:val="2CFDFDB6"/>
    <w:lvl w:ilvl="0" w:tentative="0">
      <w:start w:val="2"/>
      <w:numFmt w:val="chineseCounting"/>
      <w:suff w:val="space"/>
      <w:lvlText w:val="第%1节"/>
      <w:lvlJc w:val="left"/>
      <w:rPr>
        <w:rFonts w:hint="eastAsia"/>
      </w:rPr>
    </w:lvl>
  </w:abstractNum>
  <w:abstractNum w:abstractNumId="6">
    <w:nsid w:val="2E53EA79"/>
    <w:multiLevelType w:val="singleLevel"/>
    <w:tmpl w:val="2E53EA7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7">
    <w:nsid w:val="4AE9F870"/>
    <w:multiLevelType w:val="singleLevel"/>
    <w:tmpl w:val="4AE9F87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8">
    <w:nsid w:val="4D855762"/>
    <w:multiLevelType w:val="singleLevel"/>
    <w:tmpl w:val="4D85576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3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9B0CFD"/>
    <w:rsid w:val="19B60468"/>
    <w:rsid w:val="1C3C58A9"/>
    <w:rsid w:val="23B257F8"/>
    <w:rsid w:val="26FD0FA1"/>
    <w:rsid w:val="27A25C51"/>
    <w:rsid w:val="33D74220"/>
    <w:rsid w:val="38CA0F83"/>
    <w:rsid w:val="3F0D28D9"/>
    <w:rsid w:val="480F60DF"/>
    <w:rsid w:val="53056495"/>
    <w:rsid w:val="5367506B"/>
    <w:rsid w:val="57861633"/>
    <w:rsid w:val="65CA0894"/>
    <w:rsid w:val="76BC4F96"/>
    <w:rsid w:val="78766421"/>
    <w:rsid w:val="7C252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pc</dc:creator>
  <cp:lastModifiedBy>ZYR</cp:lastModifiedBy>
  <dcterms:modified xsi:type="dcterms:W3CDTF">2019-09-01T04:37:01Z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